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0" w:left="-1418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Задания  для</w:t>
      </w:r>
      <w:r>
        <w:rPr>
          <w:rFonts w:ascii="Times New Roman" w:hAnsi="Times New Roman"/>
          <w:b w:val="1"/>
          <w:u w:val="single"/>
        </w:rPr>
        <w:t xml:space="preserve"> самостоятельной подготовки к зачётным и итоговым работам по </w:t>
      </w:r>
      <w:r>
        <w:rPr>
          <w:rFonts w:ascii="Times New Roman" w:hAnsi="Times New Roman"/>
          <w:b w:val="1"/>
          <w:u w:val="single"/>
        </w:rPr>
        <w:t xml:space="preserve">ГЕОМЕТРИИ </w:t>
      </w:r>
      <w:r>
        <w:rPr>
          <w:rFonts w:ascii="Times New Roman" w:hAnsi="Times New Roman"/>
          <w:b w:val="1"/>
          <w:u w:val="single"/>
        </w:rPr>
        <w:t xml:space="preserve"> 9 класса</w:t>
      </w:r>
    </w:p>
    <w:p w14:paraId="02000000">
      <w:pPr>
        <w:ind w:firstLine="0" w:left="-1418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за 2 четверть</w:t>
      </w:r>
    </w:p>
    <w:p w14:paraId="03000000">
      <w:pPr>
        <w:spacing w:after="0" w:line="240" w:lineRule="auto"/>
        <w:ind w:hanging="1135"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u w:val="single"/>
        </w:rPr>
        <w:t>Учебник :</w:t>
      </w:r>
      <w:r>
        <w:rPr>
          <w:rFonts w:ascii="Times New Roman" w:hAnsi="Times New Roman"/>
          <w:b w:val="1"/>
          <w:u w:val="single"/>
        </w:rPr>
        <w:t xml:space="preserve"> </w:t>
      </w:r>
      <w:r>
        <w:rPr>
          <w:sz w:val="24"/>
        </w:rPr>
        <w:t xml:space="preserve">Учебник. Геометрия: 7 – 9 </w:t>
      </w:r>
      <w:r>
        <w:rPr>
          <w:sz w:val="24"/>
        </w:rPr>
        <w:t>кл</w:t>
      </w:r>
      <w:r>
        <w:rPr>
          <w:sz w:val="24"/>
        </w:rPr>
        <w:t xml:space="preserve">. / Л. С. </w:t>
      </w:r>
      <w:r>
        <w:rPr>
          <w:sz w:val="24"/>
        </w:rPr>
        <w:t>Атанасян</w:t>
      </w:r>
      <w:r>
        <w:rPr>
          <w:sz w:val="24"/>
        </w:rPr>
        <w:t>, В. Ф. Бутузов, С. Б. Кадомцев и др. – М.: Просвещение, 201</w:t>
      </w:r>
      <w:r>
        <w:rPr>
          <w:sz w:val="24"/>
        </w:rPr>
        <w:t>7</w:t>
      </w:r>
      <w:r>
        <w:rPr>
          <w:sz w:val="24"/>
        </w:rPr>
        <w:t>.</w:t>
      </w:r>
    </w:p>
    <w:tbl>
      <w:tblPr>
        <w:tblStyle w:val="Style_1"/>
        <w:tblInd w:type="dxa" w:w="-1418"/>
        <w:tblLayout w:type="fixed"/>
      </w:tblPr>
      <w:tblGrid>
        <w:gridCol w:w="3227"/>
        <w:gridCol w:w="3702"/>
        <w:gridCol w:w="2117"/>
        <w:gridCol w:w="2261"/>
      </w:tblGrid>
      <w:tr>
        <w:tc>
          <w:tcPr>
            <w:tcW w:type="dxa" w:w="3227"/>
          </w:tcPr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сдачи/дата зачётной работы (форма контроля)</w:t>
            </w:r>
          </w:p>
        </w:tc>
        <w:tc>
          <w:tcPr>
            <w:tcW w:type="dxa" w:w="3702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</w:t>
            </w:r>
          </w:p>
        </w:tc>
        <w:tc>
          <w:tcPr>
            <w:tcW w:type="dxa" w:w="2117"/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type="dxa" w:w="2261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 по выполнению</w:t>
            </w:r>
          </w:p>
        </w:tc>
      </w:tr>
      <w:tr>
        <w:tc>
          <w:tcPr>
            <w:tcW w:type="dxa" w:w="3227"/>
          </w:tcPr>
          <w:p w14:paraId="08000000">
            <w:pPr>
              <w:ind w:firstLine="3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Самостоятельная работа№3 по теме «Соотношения между сторонами и углами треугольника» 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Самостоятельная работа №4 по теме «Решение треугольников»</w:t>
            </w:r>
          </w:p>
          <w:p w14:paraId="0A000000">
            <w:pPr>
              <w:ind w:firstLine="3"/>
              <w:rPr>
                <w:rFonts w:ascii="Times New Roman" w:hAnsi="Times New Roman"/>
                <w:i w:val="1"/>
                <w:sz w:val="24"/>
              </w:rPr>
            </w:pPr>
          </w:p>
          <w:p w14:paraId="0B000000">
            <w:pPr>
              <w:ind w:firstLine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сдачи: 03.12.2021</w:t>
            </w:r>
          </w:p>
          <w:p w14:paraId="0C000000">
            <w:pPr>
              <w:ind w:firstLine="3"/>
              <w:rPr>
                <w:rFonts w:ascii="Times New Roman" w:hAnsi="Times New Roman"/>
              </w:rPr>
            </w:pPr>
          </w:p>
        </w:tc>
        <w:tc>
          <w:tcPr>
            <w:tcW w:type="dxa" w:w="3702"/>
          </w:tcPr>
          <w:p w14:paraId="0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оперировать   с   начальными   понятиями   тригонометрии </w:t>
            </w:r>
            <w:r>
              <w:rPr>
                <w:rFonts w:ascii="Times New Roman" w:hAnsi="Times New Roman"/>
              </w:rPr>
              <w:t xml:space="preserve">и   выполнять  элементарные   операции   над   функциями </w:t>
            </w:r>
            <w:r>
              <w:rPr>
                <w:rFonts w:ascii="Times New Roman" w:hAnsi="Times New Roman"/>
              </w:rPr>
              <w:t>углов;</w:t>
            </w:r>
          </w:p>
          <w:p w14:paraId="0E000000">
            <w:pPr>
              <w:pStyle w:val="Style_2"/>
              <w:rPr>
                <w:rFonts w:ascii="Times New Roman" w:hAnsi="Times New Roman"/>
              </w:rPr>
            </w:pPr>
          </w:p>
          <w:p w14:paraId="0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вычислять площади треугольников</w:t>
            </w:r>
          </w:p>
          <w:p w14:paraId="10000000">
            <w:pPr>
              <w:tabs>
                <w:tab w:leader="none" w:pos="326" w:val="left"/>
                <w:tab w:leader="none" w:pos="1134" w:val="left"/>
              </w:tabs>
              <w:ind w:firstLine="0" w:left="0"/>
              <w:rPr>
                <w:rFonts w:ascii="Times New Roman" w:hAnsi="Times New Roman"/>
              </w:rPr>
            </w:pPr>
          </w:p>
          <w:p w14:paraId="11000000">
            <w:pPr>
              <w:tabs>
                <w:tab w:leader="none" w:pos="326" w:val="left"/>
                <w:tab w:leader="none" w:pos="1134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базовые тригонометрические соотношения для вычисления длин, расстояний, площадей в простейших случаях.</w:t>
            </w:r>
          </w:p>
          <w:p w14:paraId="12000000">
            <w:pPr>
              <w:tabs>
                <w:tab w:leader="none" w:pos="326" w:val="left"/>
                <w:tab w:leader="none" w:pos="1134" w:val="left"/>
              </w:tabs>
              <w:ind w:firstLine="0" w:left="0"/>
              <w:rPr>
                <w:rFonts w:ascii="Times New Roman" w:hAnsi="Times New Roman"/>
              </w:rPr>
            </w:pPr>
          </w:p>
          <w:p w14:paraId="13000000">
            <w:pPr>
              <w:tabs>
                <w:tab w:leader="none" w:pos="326" w:val="left"/>
                <w:tab w:leader="none" w:pos="1134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оперировать теоремой синусов и теоремой косинусов для  вычисления сторон и углов треугольника.</w:t>
            </w:r>
          </w:p>
          <w:p w14:paraId="14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117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Гл.11, §1, п.97-99, №1013-1015(в), №1019(</w:t>
            </w:r>
            <w:r>
              <w:rPr>
                <w:rFonts w:ascii="Times New Roman" w:hAnsi="Times New Roman"/>
                <w:sz w:val="24"/>
              </w:rPr>
              <w:t>б,в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§2, п.100, №1020 (в), №1023</w:t>
            </w:r>
          </w:p>
        </w:tc>
        <w:tc>
          <w:tcPr>
            <w:tcW w:type="dxa" w:w="2261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1,2  пункты 97-100 </w:t>
            </w:r>
            <w:r>
              <w:rPr>
                <w:rFonts w:ascii="Times New Roman" w:hAnsi="Times New Roman"/>
              </w:rPr>
              <w:t>Выполнить письменно заданные номера в тетради.</w:t>
            </w:r>
          </w:p>
        </w:tc>
      </w:tr>
      <w:tr>
        <w:tc>
          <w:tcPr>
            <w:tcW w:type="dxa" w:w="3227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</w:rPr>
              <w:t>Контрольная работа №3 по теме «</w:t>
            </w:r>
            <w:r>
              <w:rPr>
                <w:rFonts w:ascii="Times New Roman CYR" w:hAnsi="Times New Roman CYR"/>
                <w:b w:val="0"/>
                <w:i w:val="1"/>
                <w:sz w:val="24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rFonts w:ascii="Times New Roman" w:hAnsi="Times New Roman"/>
                <w:b w:val="0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b w:val="0"/>
                <w:i w:val="1"/>
                <w:sz w:val="24"/>
              </w:rPr>
              <w:t xml:space="preserve"> (ВМ)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</w:rPr>
            </w:pP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Срок сдачи:24.12.2021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type="dxa" w:w="3702"/>
          </w:tcPr>
          <w:p w14:paraId="1C000000">
            <w:pPr>
              <w:pStyle w:val="Style_2"/>
              <w:tabs>
                <w:tab w:leader="none" w:pos="326" w:val="left"/>
                <w:tab w:leader="none" w:pos="1134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вычислять скалярное произведение векторов, находить угол </w:t>
            </w:r>
            <w:r>
              <w:rPr>
                <w:rFonts w:ascii="Times New Roman" w:hAnsi="Times New Roman"/>
              </w:rPr>
              <w:t>между векторами, устанавливать перпендикулярность пря</w:t>
            </w:r>
            <w:r>
              <w:rPr>
                <w:rFonts w:ascii="Times New Roman" w:hAnsi="Times New Roman"/>
              </w:rPr>
              <w:t>мых.</w:t>
            </w:r>
          </w:p>
        </w:tc>
        <w:tc>
          <w:tcPr>
            <w:tcW w:type="dxa" w:w="2117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101,п.</w:t>
            </w:r>
            <w:r>
              <w:rPr>
                <w:rFonts w:ascii="Times New Roman" w:hAnsi="Times New Roman"/>
                <w:sz w:val="24"/>
              </w:rPr>
              <w:t>102,103, №1025(</w:t>
            </w:r>
            <w:r>
              <w:rPr>
                <w:rFonts w:ascii="Times New Roman" w:hAnsi="Times New Roman"/>
                <w:sz w:val="24"/>
              </w:rPr>
              <w:t>д,е,з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№1031,№1032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§3, п.105,106,107,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№1044,</w:t>
            </w:r>
            <w:r>
              <w:rPr>
                <w:rFonts w:ascii="Times New Roman" w:hAnsi="Times New Roman"/>
                <w:sz w:val="24"/>
              </w:rPr>
              <w:t>№1047(в),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№1052,№1053</w:t>
            </w:r>
          </w:p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261"/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3 пункты 101- 107</w:t>
            </w:r>
          </w:p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Выполнить письменно заданные номера в тетради.</w:t>
            </w:r>
          </w:p>
        </w:tc>
      </w:tr>
    </w:tbl>
    <w:p w14:paraId="26000000">
      <w:pPr>
        <w:ind w:firstLine="0" w:left="-1418"/>
        <w:rPr>
          <w:rFonts w:ascii="Times New Roman" w:hAnsi="Times New Roman"/>
        </w:rPr>
      </w:pPr>
    </w:p>
    <w:sectPr>
      <w:pgSz w:h="16838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No Spacing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No Spacing"/>
    <w:link w:val="Style_21"/>
    <w:rPr>
      <w:rFonts w:ascii="Calibri" w:hAnsi="Calibri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2021-11-02T06:28:53Z</dcterms:modified>
</cp:coreProperties>
</file>