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02" w:rsidRDefault="00614B02" w:rsidP="00035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11 класс. Задания на 2 полугодие</w:t>
      </w:r>
    </w:p>
    <w:p w:rsidR="00B14C71" w:rsidRPr="00614B02" w:rsidRDefault="00035910" w:rsidP="00035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B02">
        <w:rPr>
          <w:rFonts w:ascii="Times New Roman" w:hAnsi="Times New Roman" w:cs="Times New Roman"/>
          <w:sz w:val="24"/>
          <w:szCs w:val="24"/>
        </w:rPr>
        <w:t>Подготовка к ЕГЭ по русскому языку</w:t>
      </w:r>
    </w:p>
    <w:p w:rsidR="00035910" w:rsidRDefault="00035910" w:rsidP="00035910">
      <w:pPr>
        <w:spacing w:after="0" w:line="240" w:lineRule="auto"/>
        <w:jc w:val="center"/>
      </w:pPr>
    </w:p>
    <w:p w:rsidR="00035910" w:rsidRPr="00614B02" w:rsidRDefault="00035910" w:rsidP="0061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B02">
        <w:rPr>
          <w:rFonts w:ascii="Times New Roman" w:hAnsi="Times New Roman" w:cs="Times New Roman"/>
          <w:sz w:val="24"/>
          <w:szCs w:val="24"/>
        </w:rPr>
        <w:t xml:space="preserve">1. Ознакомьтесь с демоверсией экзаменационной работы </w:t>
      </w:r>
      <w:hyperlink r:id="rId6" w:history="1">
        <w:r w:rsidRPr="00614B02">
          <w:rPr>
            <w:rStyle w:val="a3"/>
            <w:rFonts w:ascii="Times New Roman" w:hAnsi="Times New Roman" w:cs="Times New Roman"/>
            <w:sz w:val="24"/>
            <w:szCs w:val="24"/>
          </w:rPr>
          <w:t>http://fipi.ru/ege/demoversii-specifikacii-kodifikatory</w:t>
        </w:r>
      </w:hyperlink>
    </w:p>
    <w:p w:rsidR="00035910" w:rsidRPr="00614B02" w:rsidRDefault="00035910" w:rsidP="0061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B02">
        <w:rPr>
          <w:rFonts w:ascii="Times New Roman" w:hAnsi="Times New Roman" w:cs="Times New Roman"/>
          <w:sz w:val="24"/>
          <w:szCs w:val="24"/>
        </w:rPr>
        <w:t>2. Решите е</w:t>
      </w:r>
      <w:r w:rsidR="0075005B" w:rsidRPr="00614B02">
        <w:rPr>
          <w:rFonts w:ascii="Times New Roman" w:hAnsi="Times New Roman" w:cs="Times New Roman"/>
          <w:sz w:val="24"/>
          <w:szCs w:val="24"/>
        </w:rPr>
        <w:t>ё</w:t>
      </w:r>
      <w:r w:rsidRPr="00614B02">
        <w:rPr>
          <w:rFonts w:ascii="Times New Roman" w:hAnsi="Times New Roman" w:cs="Times New Roman"/>
          <w:sz w:val="24"/>
          <w:szCs w:val="24"/>
        </w:rPr>
        <w:t xml:space="preserve">, </w:t>
      </w:r>
      <w:r w:rsidR="0075005B" w:rsidRPr="00614B02">
        <w:rPr>
          <w:rFonts w:ascii="Times New Roman" w:hAnsi="Times New Roman" w:cs="Times New Roman"/>
          <w:sz w:val="24"/>
          <w:szCs w:val="24"/>
        </w:rPr>
        <w:t>сверьте ответы, подсчитайте баллы.</w:t>
      </w:r>
    </w:p>
    <w:p w:rsidR="0075005B" w:rsidRPr="00614B02" w:rsidRDefault="0075005B" w:rsidP="0061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B02">
        <w:rPr>
          <w:rFonts w:ascii="Times New Roman" w:hAnsi="Times New Roman" w:cs="Times New Roman"/>
          <w:sz w:val="24"/>
          <w:szCs w:val="24"/>
        </w:rPr>
        <w:t>3. Освоить материал Вам помогут следующие источники</w:t>
      </w:r>
      <w:r w:rsidR="00BB3322" w:rsidRPr="00614B02">
        <w:rPr>
          <w:rFonts w:ascii="Times New Roman" w:hAnsi="Times New Roman" w:cs="Times New Roman"/>
          <w:sz w:val="24"/>
          <w:szCs w:val="24"/>
        </w:rPr>
        <w:t>:</w:t>
      </w:r>
    </w:p>
    <w:p w:rsidR="0075005B" w:rsidRPr="00614B02" w:rsidRDefault="00065137" w:rsidP="00614B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spellStart"/>
        <w:r w:rsidR="0075005B" w:rsidRPr="00614B02">
          <w:rPr>
            <w:rStyle w:val="a3"/>
            <w:rFonts w:ascii="Times New Roman" w:hAnsi="Times New Roman" w:cs="Times New Roman"/>
            <w:sz w:val="24"/>
            <w:szCs w:val="24"/>
          </w:rPr>
          <w:t>Драбкина</w:t>
        </w:r>
        <w:proofErr w:type="spellEnd"/>
        <w:r w:rsidR="0075005B" w:rsidRPr="00614B02">
          <w:rPr>
            <w:rStyle w:val="a3"/>
            <w:rFonts w:ascii="Times New Roman" w:hAnsi="Times New Roman" w:cs="Times New Roman"/>
            <w:sz w:val="24"/>
            <w:szCs w:val="24"/>
          </w:rPr>
          <w:t xml:space="preserve"> С.В., Субботин Д.И. Русский язык. Единый государственный экзамен. Готовимся к итоговой аттестации: [учебное пособие] / </w:t>
        </w:r>
        <w:proofErr w:type="spellStart"/>
        <w:r w:rsidR="0075005B" w:rsidRPr="00614B02">
          <w:rPr>
            <w:rStyle w:val="a3"/>
            <w:rFonts w:ascii="Times New Roman" w:hAnsi="Times New Roman" w:cs="Times New Roman"/>
            <w:sz w:val="24"/>
            <w:szCs w:val="24"/>
          </w:rPr>
          <w:t>Драбкина</w:t>
        </w:r>
        <w:proofErr w:type="spellEnd"/>
        <w:r w:rsidR="0075005B" w:rsidRPr="00614B02">
          <w:rPr>
            <w:rStyle w:val="a3"/>
            <w:rFonts w:ascii="Times New Roman" w:hAnsi="Times New Roman" w:cs="Times New Roman"/>
            <w:sz w:val="24"/>
            <w:szCs w:val="24"/>
          </w:rPr>
          <w:t xml:space="preserve"> С.В., Субботин Д.И. </w:t>
        </w:r>
        <w:r w:rsidRPr="00614B0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75005B" w:rsidRPr="00614B02">
          <w:rPr>
            <w:rStyle w:val="a3"/>
            <w:rFonts w:ascii="Times New Roman" w:hAnsi="Times New Roman" w:cs="Times New Roman"/>
            <w:sz w:val="24"/>
            <w:szCs w:val="24"/>
          </w:rPr>
          <w:t xml:space="preserve"> М: Издательство «Интеллект центр», 2019</w:t>
        </w:r>
      </w:hyperlink>
      <w:r w:rsidR="0075005B" w:rsidRPr="00614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115" w:rsidRPr="00614B02" w:rsidRDefault="00065137" w:rsidP="00614B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14B02">
          <w:rPr>
            <w:rStyle w:val="a3"/>
            <w:rFonts w:ascii="Times New Roman" w:hAnsi="Times New Roman" w:cs="Times New Roman"/>
            <w:sz w:val="24"/>
            <w:szCs w:val="24"/>
          </w:rPr>
          <w:t>Решу ЕГЭ: Обучающая система</w:t>
        </w:r>
      </w:hyperlink>
      <w:r w:rsidR="00BB3322" w:rsidRPr="00614B02">
        <w:rPr>
          <w:rFonts w:ascii="Times New Roman" w:hAnsi="Times New Roman" w:cs="Times New Roman"/>
          <w:sz w:val="24"/>
          <w:szCs w:val="24"/>
        </w:rPr>
        <w:t xml:space="preserve"> – содержит не только тренировочные типовые задания, но и справочные материалы, инструкции, таблицы, правила и т.п.</w:t>
      </w:r>
    </w:p>
    <w:p w:rsidR="00BB3322" w:rsidRPr="00614B02" w:rsidRDefault="00BB3322" w:rsidP="00614B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B02">
        <w:rPr>
          <w:rFonts w:ascii="Times New Roman" w:hAnsi="Times New Roman" w:cs="Times New Roman"/>
          <w:sz w:val="24"/>
          <w:szCs w:val="24"/>
        </w:rPr>
        <w:t>Портал 4ЕГЭ.</w:t>
      </w:r>
    </w:p>
    <w:p w:rsidR="00BB3322" w:rsidRPr="00614B02" w:rsidRDefault="00BB3322" w:rsidP="0061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B02">
        <w:rPr>
          <w:rFonts w:ascii="Times New Roman" w:hAnsi="Times New Roman" w:cs="Times New Roman"/>
          <w:sz w:val="24"/>
          <w:szCs w:val="24"/>
        </w:rPr>
        <w:t xml:space="preserve">4. Для подготовки к экзамену можно воспользоваться сборником И.П. </w:t>
      </w:r>
      <w:proofErr w:type="spellStart"/>
      <w:r w:rsidRPr="00614B02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614B0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14B02">
          <w:rPr>
            <w:rStyle w:val="a3"/>
            <w:rFonts w:ascii="Times New Roman" w:hAnsi="Times New Roman" w:cs="Times New Roman"/>
            <w:sz w:val="24"/>
            <w:szCs w:val="24"/>
          </w:rPr>
          <w:t xml:space="preserve">ЕГЭ. Русский язык: типовые тестовые варианты: 36 вариантов / под ред. И.П. </w:t>
        </w:r>
        <w:proofErr w:type="spellStart"/>
        <w:r w:rsidRPr="00614B02">
          <w:rPr>
            <w:rStyle w:val="a3"/>
            <w:rFonts w:ascii="Times New Roman" w:hAnsi="Times New Roman" w:cs="Times New Roman"/>
            <w:sz w:val="24"/>
            <w:szCs w:val="24"/>
          </w:rPr>
          <w:t>Цыбулько</w:t>
        </w:r>
        <w:proofErr w:type="spellEnd"/>
        <w:r w:rsidRPr="00614B02">
          <w:rPr>
            <w:rStyle w:val="a3"/>
            <w:rFonts w:ascii="Times New Roman" w:hAnsi="Times New Roman" w:cs="Times New Roman"/>
            <w:sz w:val="24"/>
            <w:szCs w:val="24"/>
          </w:rPr>
          <w:t>. – М: Издательство «Национальное образование», 2022</w:t>
        </w:r>
      </w:hyperlink>
    </w:p>
    <w:p w:rsidR="00614B02" w:rsidRPr="00614B02" w:rsidRDefault="00614B02" w:rsidP="0061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B02">
        <w:rPr>
          <w:rFonts w:ascii="Times New Roman" w:hAnsi="Times New Roman" w:cs="Times New Roman"/>
          <w:sz w:val="24"/>
          <w:szCs w:val="24"/>
        </w:rPr>
        <w:t>5. Учитесь писать сочинение</w:t>
      </w:r>
    </w:p>
    <w:p w:rsidR="00614B02" w:rsidRP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B02" w:rsidRPr="000360D9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27. </w:t>
      </w: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 по прочитанному тексту.</w:t>
      </w:r>
    </w:p>
    <w:p w:rsidR="00614B02" w:rsidRPr="000360D9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Сформулируйте одну из </w:t>
      </w:r>
      <w:r w:rsidRPr="00A04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</w:t>
      </w: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04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поставленных</w:t>
      </w: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автором текста.</w:t>
      </w:r>
    </w:p>
    <w:p w:rsidR="00614B02" w:rsidRPr="000360D9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Прокомментируйте</w:t>
      </w: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сформулированную проблему. Включите в комментарий </w:t>
      </w:r>
      <w:r w:rsidRPr="00A04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два примера-иллюстрации из прочитанного текста</w:t>
      </w: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которые, по Вашему мнению, важны для понимания проблемы исходного текста (избегайте чрезмерного цитирования). Дайте </w:t>
      </w:r>
      <w:r w:rsidRPr="00A04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пояснение</w:t>
      </w: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каждому примеру-иллюстрации. Укажите </w:t>
      </w:r>
      <w:r w:rsidRPr="00A04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смысловую связь</w:t>
      </w: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примерами-иллюстрациями и </w:t>
      </w:r>
      <w:r w:rsidRPr="00A04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проанализируйте</w:t>
      </w: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</w:t>
      </w:r>
    </w:p>
    <w:p w:rsidR="00614B02" w:rsidRPr="000360D9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Сформулируйте </w:t>
      </w:r>
      <w:r w:rsidRPr="00A04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позицию автора</w:t>
      </w: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04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рассказчика</w:t>
      </w: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Сформулируйте и обоснуйте </w:t>
      </w:r>
      <w:r w:rsidRPr="00A048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своё отношение к позиции автора (рассказчика)</w:t>
      </w: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проблеме исходного текста.</w:t>
      </w:r>
    </w:p>
    <w:p w:rsidR="00614B02" w:rsidRPr="000360D9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 — не менее 150 слов.</w:t>
      </w:r>
    </w:p>
    <w:p w:rsidR="00614B02" w:rsidRPr="000360D9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0 баллов.</w:t>
      </w:r>
    </w:p>
    <w:p w:rsid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614B02" w:rsidRP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</w:t>
      </w:r>
    </w:p>
    <w:p w:rsidR="00614B02" w:rsidRP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(1)Воспалённое состояние Поли, а главное, её сбивчивая, двусмысленная речь – всё подсказывало худшие догадки, много страшнее, чем даже плен Родиона или его смертельное ранение.</w:t>
      </w:r>
    </w:p>
    <w:p w:rsidR="00614B02" w:rsidRP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(2)–Да нет же, тут </w:t>
      </w:r>
      <w:proofErr w:type="gramStart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совсем, – содрогнулась Поля и, отвернувшись к стенке, вынула из-под подушки смятый, зачитанный </w:t>
      </w:r>
      <w:proofErr w:type="spellStart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треугольничек</w:t>
      </w:r>
      <w:proofErr w:type="spellEnd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4B02" w:rsidRP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(3)Впоследствии Варя стыдилась своих начальных предположений. (4)Хотя редкие транзитные эшелоны не задерживались в Москве, но вокзалы находились поблизости, и Родиону был известен Полин адрес. (5)Конечно, командование могло и не разрешить солдату отлучки из эшелона в Благовещенский тупичок, тогда почему же хоть открытки не черкнул своей-то, любимой-то, проездом в действующую армию?..</w:t>
      </w:r>
      <w:proofErr w:type="gramEnd"/>
    </w:p>
    <w:p w:rsidR="00614B02" w:rsidRP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(6)Итак, это была его первая фронтовая весточка с более чем двухнедельным запозданием. (7)Во всяком случае, сейчас выяснится, с какими мыслями он отправлялся на войну. (8)Варя нетерпеливо развернула листок, весь проткнутый карандашом, – видно, писалось на колене. (9)Пришлось к лампе подойти, чтобы разобрать тусклые, </w:t>
      </w:r>
      <w:proofErr w:type="spellStart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полузаконченные</w:t>
      </w:r>
      <w:proofErr w:type="spellEnd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строки.</w:t>
      </w:r>
    </w:p>
    <w:p w:rsidR="00614B02" w:rsidRP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(10)Варя сразу наткнулась на главное место.</w:t>
      </w:r>
    </w:p>
    <w:p w:rsidR="00614B02" w:rsidRP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(11)«Пожалуй, единственная причина, дорогая моя, почему молчал всё это время, – негде было пристроиться, – кратко, с неожиданной полнотой и прямолинейно, как на исповеди, писал Родион. (12)– Мы всё отступаем пока, день и ночь отступаем, занимаем более выгодные оборонительные рубежи, как говорится в сводках. (13)Я очень болел к тому же, да и теперь не совсем ещё оправился: хуже любой контузии</w:t>
      </w:r>
      <w:proofErr w:type="gramEnd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болезнь. (14)Самое горькое – то, что сам я </w:t>
      </w:r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вполне здоров, весь целый, нет пока на мне ни единой царапины. (15)Сожги это письмо, тебе одной на всём свете могу я рассказать про это, – Варя перевернула страничку.</w:t>
      </w:r>
    </w:p>
    <w:p w:rsidR="00614B02" w:rsidRP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(16)Происшествие случилось в одной русской деревне, которую наша часть проходила в отступлении. (17)Я шёл последним в роте... а может, и во всей армии последним. (18)Перед нами на дороге встала местная девочка лет девяти, совсем ребёнок, видимо, на школьной скамье приученная любить Красную Армию... (19)Конечно, она не очень разбиралась в стратегической обстановке. (20)Она подбежала к нам</w:t>
      </w:r>
      <w:proofErr w:type="gramEnd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полевыми цветами, и, так случилось, они достались мне. (21)У неё были такие пытливые, вопросительные глаза – на солнце полуденное в тысячу раз легче глядеть, но я заставил себя взять букетик, потому что я не трус, матерью моей клянусь тебе, Поленька, что я не трус. (22)Зажмурился, а принял его у неё, покидаемой на милость врага... (23)С тех пор</w:t>
      </w:r>
      <w:proofErr w:type="gramEnd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держу тот засохший веничек постоянно при себе, на теле моём, словно огонь за пазухой ношу, велю его в могилу положить на себя, если что случится. (24)Я-то думал, семь раз кровью обольюсь, прежде чем мужчиной стану, а вот как оно происходит, всухую… и это купель зрелости! – (25)Дальше две строчки попались вовсе неразборчивые. – (26)И не знаю, Поленька, хватит ли</w:t>
      </w:r>
      <w:proofErr w:type="gramEnd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моей жизни тот подарок оплатить...»</w:t>
      </w:r>
    </w:p>
    <w:p w:rsidR="00614B02" w:rsidRP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(27)–Да, он очень вырос, твой Родион, ты права... – складывая письмо, сказала Варя, потому что при подобном строе мыслей вряд ли этот солдат оказался бы способен на какой-либо предосудительный поступок.</w:t>
      </w:r>
    </w:p>
    <w:p w:rsidR="00614B02" w:rsidRP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(28)Обнявшись, подружки слушали шелест дождя и редкие, затухающие гудки автомашин. (29)Темой беседы служили события истекшего дня: открывшаяся на центральной площади выставка трофейных самолётов, </w:t>
      </w:r>
      <w:proofErr w:type="spellStart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незасыпанная</w:t>
      </w:r>
      <w:proofErr w:type="spellEnd"/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воронка на улице Весёлых, как они уже привыкли её называть в обиходе между собой, Гастелло, чей самозабвенный подвиг прогремел в те дни на всю страну.</w:t>
      </w:r>
      <w:proofErr w:type="gramEnd"/>
    </w:p>
    <w:p w:rsidR="00614B02" w:rsidRP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4B02" w:rsidRPr="00614B02" w:rsidRDefault="00614B02" w:rsidP="00614B0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Л. Леонову*)</w:t>
      </w:r>
    </w:p>
    <w:p w:rsidR="00614B02" w:rsidRPr="00614B02" w:rsidRDefault="00614B02" w:rsidP="00614B0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*Леонид Максимович Леонов (1899–1994) – русский писатель, общественный деятель.</w:t>
      </w:r>
    </w:p>
    <w:p w:rsidR="00614B02" w:rsidRDefault="00614B02" w:rsidP="00614B02"/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976"/>
        <w:gridCol w:w="8620"/>
      </w:tblGrid>
      <w:tr w:rsidR="00614B02" w:rsidTr="00514B0F">
        <w:tc>
          <w:tcPr>
            <w:tcW w:w="1985" w:type="dxa"/>
          </w:tcPr>
          <w:p w:rsidR="00614B02" w:rsidRPr="00FE5E9F" w:rsidRDefault="00614B02" w:rsidP="00514B0F">
            <w:pPr>
              <w:jc w:val="center"/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>План сочинения</w:t>
            </w:r>
          </w:p>
        </w:tc>
        <w:tc>
          <w:tcPr>
            <w:tcW w:w="8788" w:type="dxa"/>
          </w:tcPr>
          <w:p w:rsidR="00614B02" w:rsidRPr="00FE5E9F" w:rsidRDefault="00614B02" w:rsidP="00514B0F">
            <w:pPr>
              <w:jc w:val="center"/>
              <w:rPr>
                <w:b/>
                <w:sz w:val="24"/>
                <w:szCs w:val="24"/>
              </w:rPr>
            </w:pPr>
            <w:r w:rsidRPr="00FE5E9F">
              <w:rPr>
                <w:b/>
                <w:sz w:val="24"/>
                <w:szCs w:val="24"/>
              </w:rPr>
              <w:t>Сочинение</w:t>
            </w:r>
          </w:p>
          <w:p w:rsidR="00614B02" w:rsidRPr="00FE5E9F" w:rsidRDefault="00614B02" w:rsidP="00514B0F">
            <w:pPr>
              <w:jc w:val="center"/>
              <w:rPr>
                <w:b/>
                <w:sz w:val="24"/>
                <w:szCs w:val="24"/>
              </w:rPr>
            </w:pPr>
            <w:r w:rsidRPr="00FE5E9F">
              <w:rPr>
                <w:b/>
                <w:sz w:val="24"/>
                <w:szCs w:val="24"/>
              </w:rPr>
              <w:t>(дано в таблице как обучающий материал)</w:t>
            </w:r>
          </w:p>
        </w:tc>
      </w:tr>
      <w:tr w:rsidR="00614B02" w:rsidTr="00514B0F">
        <w:tc>
          <w:tcPr>
            <w:tcW w:w="1985" w:type="dxa"/>
          </w:tcPr>
          <w:p w:rsidR="00614B02" w:rsidRPr="00FE5E9F" w:rsidRDefault="00614B02" w:rsidP="00514B0F">
            <w:pPr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>Проблема</w:t>
            </w:r>
          </w:p>
          <w:p w:rsidR="00614B02" w:rsidRPr="00FE5E9F" w:rsidRDefault="00614B02" w:rsidP="00514B0F">
            <w:pPr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>(вопрос, волнующий автора)</w:t>
            </w:r>
          </w:p>
        </w:tc>
        <w:tc>
          <w:tcPr>
            <w:tcW w:w="8788" w:type="dxa"/>
          </w:tcPr>
          <w:p w:rsidR="00614B02" w:rsidRPr="00FE5E9F" w:rsidRDefault="00614B02" w:rsidP="00514B0F">
            <w:pPr>
              <w:jc w:val="both"/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>Как влияет война на взросление человека? Эт</w:t>
            </w:r>
            <w:r>
              <w:rPr>
                <w:sz w:val="24"/>
                <w:szCs w:val="24"/>
              </w:rPr>
              <w:t>от</w:t>
            </w:r>
            <w:r w:rsidRPr="00FE5E9F">
              <w:rPr>
                <w:sz w:val="24"/>
                <w:szCs w:val="24"/>
              </w:rPr>
              <w:t xml:space="preserve"> </w:t>
            </w:r>
            <w:r w:rsidRPr="00FE5E9F">
              <w:rPr>
                <w:b/>
                <w:sz w:val="24"/>
                <w:szCs w:val="24"/>
              </w:rPr>
              <w:t>пробле</w:t>
            </w:r>
            <w:r>
              <w:rPr>
                <w:b/>
                <w:sz w:val="24"/>
                <w:szCs w:val="24"/>
              </w:rPr>
              <w:t xml:space="preserve">мный вопрос </w:t>
            </w:r>
            <w:r w:rsidRPr="00FE5E9F">
              <w:rPr>
                <w:sz w:val="24"/>
                <w:szCs w:val="24"/>
                <w:u w:val="single"/>
              </w:rPr>
              <w:t>ставит</w:t>
            </w:r>
            <w:r w:rsidRPr="00D362DE">
              <w:rPr>
                <w:sz w:val="24"/>
                <w:szCs w:val="24"/>
              </w:rPr>
              <w:t xml:space="preserve"> </w:t>
            </w:r>
            <w:r w:rsidRPr="00FE5E9F">
              <w:rPr>
                <w:sz w:val="24"/>
                <w:szCs w:val="24"/>
              </w:rPr>
              <w:t>Леонид Михайлович Леонов в предложенном для анализа тексте.</w:t>
            </w:r>
          </w:p>
          <w:p w:rsidR="00614B02" w:rsidRPr="00FE5E9F" w:rsidRDefault="00614B02" w:rsidP="00514B0F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FE5E9F">
              <w:rPr>
                <w:i/>
                <w:sz w:val="24"/>
                <w:szCs w:val="24"/>
              </w:rPr>
              <w:t>и</w:t>
            </w:r>
            <w:proofErr w:type="gramEnd"/>
            <w:r w:rsidRPr="00FE5E9F">
              <w:rPr>
                <w:i/>
                <w:sz w:val="24"/>
                <w:szCs w:val="24"/>
              </w:rPr>
              <w:t>ли</w:t>
            </w:r>
          </w:p>
          <w:p w:rsidR="00614B02" w:rsidRPr="00FE5E9F" w:rsidRDefault="00614B02" w:rsidP="00514B0F">
            <w:pPr>
              <w:jc w:val="both"/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 xml:space="preserve">Леонид Михайлович Леонов </w:t>
            </w:r>
            <w:r w:rsidRPr="00FE5E9F">
              <w:rPr>
                <w:sz w:val="24"/>
                <w:szCs w:val="24"/>
                <w:u w:val="single"/>
              </w:rPr>
              <w:t>ставит</w:t>
            </w:r>
            <w:r w:rsidRPr="00FE5E9F">
              <w:rPr>
                <w:sz w:val="24"/>
                <w:szCs w:val="24"/>
              </w:rPr>
              <w:t xml:space="preserve"> </w:t>
            </w:r>
            <w:r w:rsidRPr="00FE5E9F">
              <w:rPr>
                <w:b/>
                <w:sz w:val="24"/>
                <w:szCs w:val="24"/>
              </w:rPr>
              <w:t>проблему</w:t>
            </w:r>
            <w:r w:rsidRPr="00FE5E9F">
              <w:rPr>
                <w:sz w:val="24"/>
                <w:szCs w:val="24"/>
              </w:rPr>
              <w:t xml:space="preserve"> взросления человека на войне.</w:t>
            </w:r>
          </w:p>
        </w:tc>
      </w:tr>
      <w:tr w:rsidR="00614B02" w:rsidTr="00514B0F">
        <w:tc>
          <w:tcPr>
            <w:tcW w:w="1985" w:type="dxa"/>
          </w:tcPr>
          <w:p w:rsidR="00614B02" w:rsidRPr="00FE5E9F" w:rsidRDefault="00614B02" w:rsidP="00514B0F">
            <w:pPr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>Комментарий</w:t>
            </w:r>
          </w:p>
          <w:p w:rsidR="00614B02" w:rsidRPr="00FE5E9F" w:rsidRDefault="00614B02" w:rsidP="00514B0F">
            <w:pPr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>1-й пример + пояснение</w:t>
            </w:r>
          </w:p>
          <w:p w:rsidR="00614B02" w:rsidRPr="00FE5E9F" w:rsidRDefault="00614B02" w:rsidP="00514B0F">
            <w:pPr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>(на каком материале автор раскрывает проблему)</w:t>
            </w:r>
          </w:p>
        </w:tc>
        <w:tc>
          <w:tcPr>
            <w:tcW w:w="8788" w:type="dxa"/>
          </w:tcPr>
          <w:p w:rsidR="00614B02" w:rsidRPr="00FE5E9F" w:rsidRDefault="00614B02" w:rsidP="00514B0F">
            <w:pPr>
              <w:jc w:val="both"/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 xml:space="preserve">Для того чтобы привлечь читателя к проблеме, писатель рассказывает о полученном Полей от Родиона </w:t>
            </w:r>
            <w:proofErr w:type="spellStart"/>
            <w:r w:rsidRPr="00FE5E9F">
              <w:rPr>
                <w:sz w:val="24"/>
                <w:szCs w:val="24"/>
              </w:rPr>
              <w:t>полузаконченном</w:t>
            </w:r>
            <w:proofErr w:type="spellEnd"/>
            <w:r w:rsidRPr="00FE5E9F">
              <w:rPr>
                <w:sz w:val="24"/>
                <w:szCs w:val="24"/>
              </w:rPr>
              <w:t xml:space="preserve"> письме. Он долго не слал весточек, потому что Красная Армия постоянно отступала. Юноша пишет о происшествии в «оставляемой на милость врага» деревне: девочка лет девяти подарила ему букетик полевых цветов. Она знала, что бойцы должны защищать жителей деревни. А Родион понимал, что они этого не сделают. Леонов образно показывает роль этого подарка: «носил его, словно огонь за пазухой». Писатель ёмко передает осознание боли и ответственности юного бойца за оставляемых в тылу врага беззащитных граждан.</w:t>
            </w:r>
          </w:p>
        </w:tc>
      </w:tr>
      <w:tr w:rsidR="00614B02" w:rsidTr="00514B0F">
        <w:trPr>
          <w:trHeight w:val="1034"/>
        </w:trPr>
        <w:tc>
          <w:tcPr>
            <w:tcW w:w="1985" w:type="dxa"/>
          </w:tcPr>
          <w:p w:rsidR="00614B02" w:rsidRPr="00FE5E9F" w:rsidRDefault="00614B02" w:rsidP="00514B0F">
            <w:pPr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 xml:space="preserve">2-й пример + пояснение </w:t>
            </w:r>
          </w:p>
          <w:p w:rsidR="00614B02" w:rsidRPr="00FE5E9F" w:rsidRDefault="00614B02" w:rsidP="00514B0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14B02" w:rsidRPr="00FE5E9F" w:rsidRDefault="00614B02" w:rsidP="00514B0F">
            <w:pPr>
              <w:jc w:val="both"/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>Автор делает акцент на словах о взрослении. Мы видим, как Родион в письме к Поле несколько раз повторяет их. Это убеждает нас, что мироощущение героя резко изменилось: в его груди поселились боль из-за невозможности спасти девочку и других жителей деревни из-за тяжелого отступления армии.</w:t>
            </w:r>
          </w:p>
        </w:tc>
      </w:tr>
      <w:tr w:rsidR="00614B02" w:rsidTr="00514B0F">
        <w:trPr>
          <w:trHeight w:val="469"/>
        </w:trPr>
        <w:tc>
          <w:tcPr>
            <w:tcW w:w="1985" w:type="dxa"/>
          </w:tcPr>
          <w:p w:rsidR="00614B02" w:rsidRPr="00FE5E9F" w:rsidRDefault="00614B02" w:rsidP="00514B0F">
            <w:pPr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>Смысловая связь</w:t>
            </w:r>
          </w:p>
        </w:tc>
        <w:tc>
          <w:tcPr>
            <w:tcW w:w="8788" w:type="dxa"/>
          </w:tcPr>
          <w:p w:rsidR="00614B02" w:rsidRPr="00FE5E9F" w:rsidRDefault="00614B02" w:rsidP="00514B0F">
            <w:pPr>
              <w:jc w:val="both"/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  <w:u w:val="single"/>
              </w:rPr>
              <w:t>Следствием</w:t>
            </w:r>
            <w:r w:rsidRPr="00FE5E9F">
              <w:rPr>
                <w:sz w:val="24"/>
                <w:szCs w:val="24"/>
              </w:rPr>
              <w:t xml:space="preserve"> встречи с девочкой стало понимание Родионом его мгновенного взросления. </w:t>
            </w:r>
          </w:p>
        </w:tc>
      </w:tr>
      <w:tr w:rsidR="00614B02" w:rsidTr="00514B0F">
        <w:tc>
          <w:tcPr>
            <w:tcW w:w="1985" w:type="dxa"/>
          </w:tcPr>
          <w:p w:rsidR="00614B02" w:rsidRPr="00FE5E9F" w:rsidRDefault="00614B02" w:rsidP="00514B0F">
            <w:pPr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 xml:space="preserve">Анализ смысловой связи между примерами, </w:t>
            </w:r>
            <w:r w:rsidRPr="00FE5E9F">
              <w:rPr>
                <w:sz w:val="24"/>
                <w:szCs w:val="24"/>
              </w:rPr>
              <w:lastRenderedPageBreak/>
              <w:t>позиция автора</w:t>
            </w:r>
          </w:p>
        </w:tc>
        <w:tc>
          <w:tcPr>
            <w:tcW w:w="8788" w:type="dxa"/>
          </w:tcPr>
          <w:p w:rsidR="00614B02" w:rsidRPr="00FE5E9F" w:rsidRDefault="00614B02" w:rsidP="00514B0F">
            <w:pPr>
              <w:jc w:val="both"/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lastRenderedPageBreak/>
              <w:t xml:space="preserve">Связь букетика и резкого понимания ответственности юным бойцом, что он стал мужчиной, необходимы Л.М. Леонову, чтобы продемонстрировать читателю свою четкую </w:t>
            </w:r>
            <w:r w:rsidRPr="00FE5E9F">
              <w:rPr>
                <w:sz w:val="24"/>
                <w:szCs w:val="24"/>
                <w:u w:val="single"/>
              </w:rPr>
              <w:t>позицию</w:t>
            </w:r>
            <w:r w:rsidRPr="00FE5E9F">
              <w:rPr>
                <w:sz w:val="24"/>
                <w:szCs w:val="24"/>
              </w:rPr>
              <w:t xml:space="preserve">: на войне человек взрослеет в одно мгновение, потому что груз ответственности за судьбы граждан своей Родины, невозможность изменить </w:t>
            </w:r>
            <w:r w:rsidRPr="00FE5E9F">
              <w:rPr>
                <w:sz w:val="24"/>
                <w:szCs w:val="24"/>
              </w:rPr>
              <w:lastRenderedPageBreak/>
              <w:t>сложившуюся ситуацию ускоряет этот процесс. «Я-то думал, семь раз кровью обольюсь, прежде чем мужчиной стану, а вот как оно происходит, всухую… и это купель зрелости!»</w:t>
            </w:r>
          </w:p>
        </w:tc>
      </w:tr>
      <w:tr w:rsidR="00614B02" w:rsidTr="00514B0F">
        <w:tc>
          <w:tcPr>
            <w:tcW w:w="1985" w:type="dxa"/>
          </w:tcPr>
          <w:p w:rsidR="00614B02" w:rsidRPr="00FE5E9F" w:rsidRDefault="00614B02" w:rsidP="00514B0F">
            <w:pPr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lastRenderedPageBreak/>
              <w:t>Согласие, несогласие с позицией автора</w:t>
            </w:r>
          </w:p>
        </w:tc>
        <w:tc>
          <w:tcPr>
            <w:tcW w:w="8788" w:type="dxa"/>
          </w:tcPr>
          <w:p w:rsidR="00614B02" w:rsidRPr="00FE5E9F" w:rsidRDefault="00614B02" w:rsidP="00514B0F">
            <w:pPr>
              <w:jc w:val="both"/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>С такой точкой зрения невозможно не согласиться. Мы знаем примеры, когда в годы Великой Отечественной войны юноши и девушки приписывали себе годы и уходили на фронт, чтобы защитить родных и близких. На промышленных предприятиях дети и подростки наравне с взрослыми выполняли нормы выработки. Всё это они делали, осознавая свое взросление и становясь ответственными за приближение Победы.</w:t>
            </w:r>
          </w:p>
        </w:tc>
      </w:tr>
      <w:tr w:rsidR="00614B02" w:rsidTr="00514B0F">
        <w:tc>
          <w:tcPr>
            <w:tcW w:w="1985" w:type="dxa"/>
          </w:tcPr>
          <w:p w:rsidR="00614B02" w:rsidRPr="00FE5E9F" w:rsidRDefault="00614B02" w:rsidP="00514B0F">
            <w:pPr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>Заключение</w:t>
            </w:r>
          </w:p>
        </w:tc>
        <w:tc>
          <w:tcPr>
            <w:tcW w:w="8788" w:type="dxa"/>
          </w:tcPr>
          <w:p w:rsidR="00614B02" w:rsidRPr="00FE5E9F" w:rsidRDefault="00614B02" w:rsidP="00514B0F">
            <w:pPr>
              <w:jc w:val="both"/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 xml:space="preserve">Война – невообразимо тяжелое моральное и физическое испытание, которое </w:t>
            </w:r>
            <w:r>
              <w:rPr>
                <w:sz w:val="24"/>
                <w:szCs w:val="24"/>
              </w:rPr>
              <w:t xml:space="preserve">юнцов </w:t>
            </w:r>
            <w:r w:rsidRPr="00FE5E9F">
              <w:rPr>
                <w:sz w:val="24"/>
                <w:szCs w:val="24"/>
              </w:rPr>
              <w:t>превращало во взрослых ответственных людей. Но цена этого взросления тоже неимоверно высока.</w:t>
            </w:r>
          </w:p>
          <w:p w:rsidR="00614B02" w:rsidRPr="00FE5E9F" w:rsidRDefault="00614B02" w:rsidP="00614B02">
            <w:pPr>
              <w:jc w:val="right"/>
              <w:rPr>
                <w:sz w:val="24"/>
                <w:szCs w:val="24"/>
              </w:rPr>
            </w:pPr>
            <w:r w:rsidRPr="00FE5E9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2</w:t>
            </w:r>
            <w:r w:rsidRPr="00FE5E9F">
              <w:rPr>
                <w:sz w:val="24"/>
                <w:szCs w:val="24"/>
              </w:rPr>
              <w:t xml:space="preserve"> слова. Минимум 150 слов</w:t>
            </w:r>
          </w:p>
        </w:tc>
      </w:tr>
    </w:tbl>
    <w:p w:rsidR="00614B02" w:rsidRDefault="00614B02" w:rsidP="00614B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14B02" w:rsidRDefault="00614B02" w:rsidP="00BB3322">
      <w:pPr>
        <w:spacing w:after="0" w:line="240" w:lineRule="auto"/>
      </w:pPr>
    </w:p>
    <w:p w:rsidR="00BB3322" w:rsidRDefault="00BB3322" w:rsidP="00BB3322">
      <w:pPr>
        <w:spacing w:after="0" w:line="240" w:lineRule="auto"/>
      </w:pPr>
    </w:p>
    <w:p w:rsidR="00BB3322" w:rsidRPr="005E5B50" w:rsidRDefault="005E5B50" w:rsidP="005E5B5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50">
        <w:rPr>
          <w:rFonts w:ascii="Times New Roman" w:hAnsi="Times New Roman" w:cs="Times New Roman"/>
          <w:sz w:val="24"/>
          <w:szCs w:val="24"/>
        </w:rPr>
        <w:t>Задания</w:t>
      </w:r>
    </w:p>
    <w:p w:rsidR="005E5B50" w:rsidRDefault="005E5B50" w:rsidP="005E5B5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50">
        <w:rPr>
          <w:rFonts w:ascii="Times New Roman" w:hAnsi="Times New Roman" w:cs="Times New Roman"/>
          <w:sz w:val="24"/>
          <w:szCs w:val="24"/>
        </w:rPr>
        <w:t xml:space="preserve">Выполните варианты 1 – 10 из сборника И.П. </w:t>
      </w:r>
      <w:proofErr w:type="spellStart"/>
      <w:r w:rsidRPr="005E5B50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5E5B50">
        <w:rPr>
          <w:rFonts w:ascii="Times New Roman" w:hAnsi="Times New Roman" w:cs="Times New Roman"/>
          <w:sz w:val="24"/>
          <w:szCs w:val="24"/>
        </w:rPr>
        <w:t>. Напишите сочинения (списанные из интернета не принимаются)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B50" w:rsidRDefault="005E5B50" w:rsidP="005E5B5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B50" w:rsidRPr="005E5B50" w:rsidRDefault="005E5B50" w:rsidP="005E5B5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!В школе обязательно выполнить диагност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ические работы.</w:t>
      </w:r>
    </w:p>
    <w:sectPr w:rsidR="005E5B50" w:rsidRPr="005E5B50" w:rsidSect="00614B0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52E6"/>
    <w:multiLevelType w:val="hybridMultilevel"/>
    <w:tmpl w:val="1082B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10"/>
    <w:rsid w:val="00035910"/>
    <w:rsid w:val="00065137"/>
    <w:rsid w:val="00182115"/>
    <w:rsid w:val="005E5B50"/>
    <w:rsid w:val="00614B02"/>
    <w:rsid w:val="0075005B"/>
    <w:rsid w:val="00B14C71"/>
    <w:rsid w:val="00BB3322"/>
    <w:rsid w:val="00DA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9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05B"/>
    <w:pPr>
      <w:ind w:left="720"/>
      <w:contextualSpacing/>
    </w:pPr>
  </w:style>
  <w:style w:type="table" w:styleId="a5">
    <w:name w:val="Table Grid"/>
    <w:basedOn w:val="a1"/>
    <w:uiPriority w:val="59"/>
    <w:rsid w:val="00614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9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05B"/>
    <w:pPr>
      <w:ind w:left="720"/>
      <w:contextualSpacing/>
    </w:pPr>
  </w:style>
  <w:style w:type="table" w:styleId="a5">
    <w:name w:val="Table Grid"/>
    <w:basedOn w:val="a1"/>
    <w:uiPriority w:val="59"/>
    <w:rsid w:val="00614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.11klasov.net/16034-egje-2019-russkij-jazyk-gotovimsja-k-itogovoj-attestacii-drabkina-sv-subbotin-d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ege/demoversii-specifikacii-kodifikato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3tAtL2hPyfgKBO5yCxcQ6rHkRIfUVL93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2022-03-28T08:14:00Z</dcterms:created>
  <dcterms:modified xsi:type="dcterms:W3CDTF">2022-03-28T08:14:00Z</dcterms:modified>
</cp:coreProperties>
</file>